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602F68">
      <w:pPr>
        <w:spacing w:line="540" w:lineRule="exact"/>
        <w:jc w:val="center"/>
        <w:rPr>
          <w:rFonts w:ascii="方正小标宋简体" w:eastAsia="方正小标宋简体" w:cs="方正小标宋简体"/>
          <w:color w:val="000000"/>
          <w:sz w:val="44"/>
          <w:szCs w:val="44"/>
          <w:shd w:val="clear" w:color="auto" w:fill="FFFFFF"/>
        </w:rPr>
      </w:pPr>
      <w:bookmarkStart w:id="0" w:name="_GoBack"/>
      <w:bookmarkEnd w:id="0"/>
      <w:r>
        <w:rPr>
          <w:rFonts w:hint="eastAsia" w:ascii="方正小标宋简体" w:eastAsia="方正小标宋简体" w:cs="方正小标宋简体"/>
          <w:color w:val="000000"/>
          <w:sz w:val="44"/>
          <w:szCs w:val="44"/>
          <w:shd w:val="clear" w:color="auto" w:fill="FFFFFF"/>
        </w:rPr>
        <w:t>关于</w:t>
      </w:r>
      <w:r>
        <w:rPr>
          <w:rFonts w:ascii="方正小标宋简体" w:eastAsia="方正小标宋简体" w:cs="方正小标宋简体"/>
          <w:color w:val="000000"/>
          <w:sz w:val="44"/>
          <w:szCs w:val="44"/>
          <w:shd w:val="clear" w:color="auto" w:fill="FFFFFF"/>
        </w:rPr>
        <w:t>开展全校实验室安全</w:t>
      </w:r>
      <w:r>
        <w:rPr>
          <w:rFonts w:hint="eastAsia" w:ascii="方正小标宋简体" w:eastAsia="方正小标宋简体" w:cs="方正小标宋简体"/>
          <w:color w:val="000000"/>
          <w:sz w:val="44"/>
          <w:szCs w:val="44"/>
          <w:shd w:val="clear" w:color="auto" w:fill="FFFFFF"/>
        </w:rPr>
        <w:t>督导</w:t>
      </w:r>
      <w:r>
        <w:rPr>
          <w:rFonts w:ascii="方正小标宋简体" w:eastAsia="方正小标宋简体" w:cs="方正小标宋简体"/>
          <w:color w:val="000000"/>
          <w:sz w:val="44"/>
          <w:szCs w:val="44"/>
          <w:shd w:val="clear" w:color="auto" w:fill="FFFFFF"/>
        </w:rPr>
        <w:t>检查的通知</w:t>
      </w:r>
    </w:p>
    <w:p w14:paraId="513BD0C7">
      <w:pPr>
        <w:spacing w:line="540" w:lineRule="exact"/>
        <w:jc w:val="left"/>
        <w:rPr>
          <w:rFonts w:ascii="仿宋_GB2312" w:eastAsia="仿宋_GB2312" w:cs="仿宋_GB2312"/>
          <w:color w:val="000000"/>
          <w:sz w:val="32"/>
          <w:szCs w:val="32"/>
          <w:shd w:val="clear" w:color="auto" w:fill="FFFFFF"/>
        </w:rPr>
      </w:pPr>
    </w:p>
    <w:p w14:paraId="5D818809">
      <w:pPr>
        <w:spacing w:line="540" w:lineRule="exact"/>
        <w:jc w:val="left"/>
        <w:rPr>
          <w:rFonts w:ascii="仿宋_GB2312" w:eastAsia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shd w:val="clear" w:color="auto" w:fill="FFFFFF"/>
        </w:rPr>
        <w:t>各部门、各学院：</w:t>
      </w:r>
    </w:p>
    <w:p w14:paraId="633E77AE">
      <w:pPr>
        <w:spacing w:line="560" w:lineRule="exact"/>
        <w:ind w:firstLine="640" w:firstLineChars="200"/>
        <w:rPr>
          <w:rFonts w:ascii="黑体" w:eastAsia="黑体" w:cs="黑体"/>
          <w:color w:val="222222"/>
          <w:sz w:val="32"/>
          <w:szCs w:val="32"/>
          <w:shd w:val="clear" w:color="auto" w:fill="FFFFFF"/>
        </w:rPr>
      </w:pPr>
      <w:r>
        <w:rPr>
          <w:rFonts w:hint="eastAsia" w:ascii="仿宋_GB2312" w:eastAsia="仿宋_GB2312" w:cs="仿宋_GB2312"/>
          <w:color w:val="222222"/>
          <w:sz w:val="32"/>
          <w:szCs w:val="32"/>
          <w:shd w:val="clear" w:color="auto" w:fill="FFFFFF"/>
        </w:rPr>
        <w:t>为切实加强我校实验室安全管理，有效防范和坚决遏制各类安全事故的发生，保障广大师生的生命财产安全和校园稳定，根据山东省教育厅《关于做好2026年度高等学校实验室安全工作的通知》和学校《</w:t>
      </w:r>
      <w:r>
        <w:rPr>
          <w:rFonts w:ascii="仿宋_GB2312" w:eastAsia="仿宋_GB2312" w:cs="仿宋_GB2312"/>
          <w:color w:val="222222"/>
          <w:sz w:val="32"/>
          <w:szCs w:val="32"/>
          <w:shd w:val="clear" w:color="auto" w:fill="FFFFFF"/>
        </w:rPr>
        <w:t>关于开展学校安全风险隐患排查整治工作的通知</w:t>
      </w:r>
      <w:r>
        <w:rPr>
          <w:rFonts w:hint="eastAsia" w:ascii="仿宋_GB2312" w:eastAsia="仿宋_GB2312" w:cs="仿宋_GB2312"/>
          <w:color w:val="222222"/>
          <w:sz w:val="32"/>
          <w:szCs w:val="32"/>
          <w:shd w:val="clear" w:color="auto" w:fill="FFFFFF"/>
        </w:rPr>
        <w:t>》的要求，学校决定组织开展全校范围的实验室安全隐患督导检查工作。现将有关事项通知如下：</w:t>
      </w:r>
      <w:r>
        <w:rPr>
          <w:rFonts w:ascii="仿宋_GB2312" w:eastAsia="仿宋_GB2312" w:cs="仿宋_GB2312"/>
          <w:color w:val="222222"/>
          <w:sz w:val="32"/>
          <w:szCs w:val="32"/>
          <w:shd w:val="clear" w:color="auto" w:fill="FFFFFF"/>
        </w:rPr>
        <w:t>
</w:t>
      </w:r>
      <w:r>
        <w:rPr>
          <w:rFonts w:hint="eastAsia" w:ascii="仿宋_GB2312" w:eastAsia="仿宋_GB2312" w:cs="仿宋_GB2312"/>
          <w:color w:val="222222"/>
          <w:sz w:val="32"/>
          <w:szCs w:val="32"/>
          <w:shd w:val="clear" w:color="auto" w:fill="FFFFFF"/>
        </w:rPr>
        <w:t xml:space="preserve">    </w:t>
      </w:r>
      <w:r>
        <w:rPr>
          <w:rFonts w:hint="eastAsia" w:ascii="黑体" w:eastAsia="黑体" w:cs="黑体"/>
          <w:color w:val="222222"/>
          <w:sz w:val="32"/>
          <w:szCs w:val="32"/>
          <w:shd w:val="clear" w:color="auto" w:fill="FFFFFF"/>
        </w:rPr>
        <w:t>一、检查时间</w:t>
      </w:r>
    </w:p>
    <w:p w14:paraId="009C9B2B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19</w:t>
      </w:r>
      <w:r>
        <w:rPr>
          <w:rFonts w:hint="eastAsia" w:ascii="仿宋_GB2312" w:eastAsia="仿宋_GB2312"/>
          <w:sz w:val="32"/>
          <w:szCs w:val="32"/>
        </w:rPr>
        <w:t>日（星期二）至5月2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日（周四）。</w:t>
      </w:r>
    </w:p>
    <w:p w14:paraId="4CF455F8">
      <w:pPr>
        <w:spacing w:line="560" w:lineRule="exact"/>
        <w:ind w:firstLine="640" w:firstLineChars="200"/>
        <w:rPr>
          <w:rFonts w:ascii="黑体" w:eastAsia="黑体" w:cs="黑体"/>
          <w:color w:val="222222"/>
          <w:sz w:val="32"/>
          <w:szCs w:val="32"/>
          <w:shd w:val="clear" w:color="auto" w:fill="FFFFFF"/>
        </w:rPr>
      </w:pPr>
      <w:r>
        <w:rPr>
          <w:rFonts w:hint="eastAsia" w:ascii="黑体" w:eastAsia="黑体" w:cs="黑体"/>
          <w:color w:val="222222"/>
          <w:sz w:val="32"/>
          <w:szCs w:val="32"/>
          <w:shd w:val="clear" w:color="auto" w:fill="FFFFFF"/>
        </w:rPr>
        <w:t>二、检查范围</w:t>
      </w:r>
    </w:p>
    <w:p w14:paraId="5474CC1B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全校所有教学实验室、科研实验室及其附属设施。</w:t>
      </w:r>
    </w:p>
    <w:p w14:paraId="4CBC5159"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三、检查形式</w:t>
      </w:r>
    </w:p>
    <w:p w14:paraId="212CAB19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本次检查采取统一领导、分组抽查的方式进行。具体由学校实验室安全工作领导小组统一领导，资产管理处负责组建专项检查组，对各单位实验室开展现场抽查。</w:t>
      </w:r>
    </w:p>
    <w:p w14:paraId="4077176E"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四、检查内容</w:t>
      </w:r>
    </w:p>
    <w:p w14:paraId="1042F80F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本次检查专家组将依据《高等学校实验室安全检查项目表（2</w:t>
      </w:r>
      <w:r>
        <w:rPr>
          <w:rFonts w:ascii="仿宋_GB2312" w:eastAsia="仿宋_GB2312"/>
          <w:sz w:val="32"/>
          <w:szCs w:val="32"/>
        </w:rPr>
        <w:t>026</w:t>
      </w:r>
      <w:r>
        <w:rPr>
          <w:rFonts w:hint="eastAsia" w:ascii="仿宋_GB2312" w:eastAsia="仿宋_GB2312"/>
          <w:sz w:val="32"/>
          <w:szCs w:val="32"/>
        </w:rPr>
        <w:t>版）》（附件</w:t>
      </w:r>
      <w:r>
        <w:rPr>
          <w:rFonts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）等国家标准和行业规范，通过实地检查、查阅资料、现场访谈等形式，对以下重点内容进行全面检查。</w:t>
      </w:r>
      <w:r>
        <w:rPr>
          <w:rFonts w:ascii="仿宋_GB2312" w:eastAsia="仿宋_GB2312"/>
          <w:sz w:val="32"/>
          <w:szCs w:val="32"/>
        </w:rPr>
        <w:t xml:space="preserve">
    </w:t>
      </w:r>
      <w:r>
        <w:rPr>
          <w:rFonts w:hint="eastAsia" w:ascii="仿宋_GB2312" w:eastAsia="仿宋_GB2312"/>
          <w:sz w:val="32"/>
          <w:szCs w:val="32"/>
        </w:rPr>
        <w:t>（一）固体废弃物和危险化学品（特别是易燃、易爆、剧毒、腐蚀、放射性等）是否按规定分类收集、存放，委托有资质的单位处置，处置记录是否及时完整。</w:t>
      </w:r>
    </w:p>
    <w:p w14:paraId="777C4263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（二）实验动物、病原微生物等涉及生物安全的废弃物的收集、储存、中转、处置等是否符合相关规定。</w:t>
      </w:r>
    </w:p>
    <w:p w14:paraId="33B84E7E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是否建立完整的危险化学品台账，详细记录采购、入库、领用、归还、废弃等环节信息，领用需经负责人审批，双人领用、双人登记，剧毒化学品实行“五双管理”（双人保管、双人收发、双人使用、双人运输、双人双锁）。</w:t>
      </w:r>
    </w:p>
    <w:p w14:paraId="2F51FC5F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（四）储存区域是否配备通风设施，能够保持良好的通风效果。是否配备防爆电器、防腐地面、泄漏收集装置，无火源、热源。</w:t>
      </w:r>
    </w:p>
    <w:p w14:paraId="108D71B6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（五）实验仪器、设备是否定期进行校准、检修维护，有检修维护记录，设备完好正常运行。</w:t>
      </w:r>
    </w:p>
    <w:p w14:paraId="42AE8EA3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（六）高压容器是否定期检验，检验合格标识齐全，存放符合安全距离要求，固定牢固，无碰撞、暴晒情况。</w:t>
      </w:r>
    </w:p>
    <w:p w14:paraId="72ECA814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（七）加热设备是否在使用时放置在阻燃垫上，远离易燃物品，无人值守时严禁使用。</w:t>
      </w:r>
    </w:p>
    <w:p w14:paraId="4E38948B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（八）实验操作人员是否佩戴绝缘手套、穿绝缘鞋等防护用品。</w:t>
      </w:r>
    </w:p>
    <w:p w14:paraId="6F53A58B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（九）实验室是否配备应急喷淋装置、洗眼器，安装位置是否合理，性能是否保持良好可用。</w:t>
      </w:r>
    </w:p>
    <w:p w14:paraId="2393D04C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（十）实验室是否设置应急疏散路线图，疏散通道畅通，无堵塞情况，应急照明、疏散指示标志完好有效。</w:t>
      </w:r>
    </w:p>
    <w:p w14:paraId="39126F1E">
      <w:pPr>
        <w:snapToGrid w:val="0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（十一）燃气安全</w:t>
      </w:r>
    </w:p>
    <w:p w14:paraId="28330030">
      <w:pPr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1.燃气灶具是否具备自动熄火保护功能，天然气灶具使用年限是否超标（不得超过8年）。</w:t>
      </w:r>
    </w:p>
    <w:p w14:paraId="36D98D09">
      <w:pPr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2.操作区域内燃气管道是否明装，是否存在包裹、覆盖燃气设施及附属管道等问题隐患。</w:t>
      </w:r>
    </w:p>
    <w:p w14:paraId="1B72585C">
      <w:pPr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3.连接软管是否选用不锈钢波纹管或金属包覆管，是否存在使用三通、暗埋、穿墙等问题隐患。</w:t>
      </w:r>
    </w:p>
    <w:p w14:paraId="1BF843FC">
      <w:pPr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4.操作区域是否具备通向户外的窗户，通风换气情况是否良好。</w:t>
      </w:r>
    </w:p>
    <w:p w14:paraId="306FD126">
      <w:pPr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5.室内是否堆放易燃易爆物品，是否存在或使用第二种火源等问题隐患。</w:t>
      </w:r>
    </w:p>
    <w:p w14:paraId="4AD4BE60">
      <w:pPr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6.燃气报警器安装距离是否符合标准。</w:t>
      </w:r>
    </w:p>
    <w:p w14:paraId="331FC2A3">
      <w:pPr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7.是否存在天然气灶与液化气灶混用问题。</w:t>
      </w:r>
    </w:p>
    <w:p w14:paraId="63B45B66"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五、工作要求</w:t>
      </w:r>
    </w:p>
    <w:p w14:paraId="72FF8BBB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楷体_GB2312" w:eastAsia="楷体_GB2312" w:cs="仿宋_GB2312"/>
          <w:color w:val="222222"/>
          <w:sz w:val="32"/>
          <w:szCs w:val="32"/>
          <w:shd w:val="clear" w:color="auto" w:fill="FFFFFF"/>
        </w:rPr>
        <w:t>（一）高度重视，积极配合：</w:t>
      </w:r>
      <w:r>
        <w:rPr>
          <w:rFonts w:ascii="Calibri" w:hAnsi="Calibri" w:eastAsia="仿宋_GB2312" w:cs="Calibri"/>
          <w:color w:val="222222"/>
          <w:sz w:val="32"/>
          <w:szCs w:val="32"/>
          <w:shd w:val="clear" w:color="auto" w:fill="FFFFFF"/>
        </w:rPr>
        <w:t> </w:t>
      </w:r>
      <w:r>
        <w:rPr>
          <w:rFonts w:hint="eastAsia" w:ascii="仿宋_GB2312" w:eastAsia="仿宋_GB2312"/>
          <w:sz w:val="32"/>
          <w:szCs w:val="32"/>
        </w:rPr>
        <w:t>请各单位高度重视，积极配合检查组的工作，如实提供相关资料，不得瞒报、漏报。对检查中发现的问题，要虚心接受，立行立改。确保检查实效。 </w:t>
      </w:r>
    </w:p>
    <w:p w14:paraId="5A93E3B1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楷体_GB2312" w:eastAsia="楷体_GB2312" w:cs="仿宋_GB2312"/>
          <w:color w:val="222222"/>
          <w:sz w:val="32"/>
          <w:szCs w:val="32"/>
          <w:shd w:val="clear" w:color="auto" w:fill="FFFFFF"/>
        </w:rPr>
        <w:t>（二）立</w:t>
      </w:r>
      <w:r>
        <w:rPr>
          <w:rFonts w:ascii="楷体_GB2312" w:eastAsia="楷体_GB2312" w:cs="仿宋_GB2312"/>
          <w:color w:val="222222"/>
          <w:sz w:val="32"/>
          <w:szCs w:val="32"/>
          <w:shd w:val="clear" w:color="auto" w:fill="FFFFFF"/>
        </w:rPr>
        <w:t>查</w:t>
      </w:r>
      <w:r>
        <w:rPr>
          <w:rFonts w:hint="eastAsia" w:ascii="楷体_GB2312" w:eastAsia="楷体_GB2312" w:cs="仿宋_GB2312"/>
          <w:color w:val="222222"/>
          <w:sz w:val="32"/>
          <w:szCs w:val="32"/>
          <w:shd w:val="clear" w:color="auto" w:fill="FFFFFF"/>
        </w:rPr>
        <w:t>立</w:t>
      </w:r>
      <w:r>
        <w:rPr>
          <w:rFonts w:ascii="楷体_GB2312" w:eastAsia="楷体_GB2312" w:cs="仿宋_GB2312"/>
          <w:color w:val="222222"/>
          <w:sz w:val="32"/>
          <w:szCs w:val="32"/>
          <w:shd w:val="clear" w:color="auto" w:fill="FFFFFF"/>
        </w:rPr>
        <w:t>改，</w:t>
      </w:r>
      <w:r>
        <w:rPr>
          <w:rFonts w:hint="eastAsia" w:ascii="楷体_GB2312" w:eastAsia="楷体_GB2312" w:cs="仿宋_GB2312"/>
          <w:color w:val="222222"/>
          <w:sz w:val="32"/>
          <w:szCs w:val="32"/>
          <w:shd w:val="clear" w:color="auto" w:fill="FFFFFF"/>
        </w:rPr>
        <w:t>闭环管理</w:t>
      </w:r>
      <w:r>
        <w:rPr>
          <w:rFonts w:ascii="楷体_GB2312" w:eastAsia="楷体_GB2312" w:cs="仿宋_GB2312"/>
          <w:color w:val="222222"/>
          <w:sz w:val="32"/>
          <w:szCs w:val="32"/>
          <w:shd w:val="clear" w:color="auto" w:fill="FFFFFF"/>
        </w:rPr>
        <w:t>：</w:t>
      </w:r>
      <w:r>
        <w:rPr>
          <w:rFonts w:ascii="仿宋_GB2312" w:eastAsia="仿宋_GB2312"/>
          <w:sz w:val="32"/>
          <w:szCs w:val="32"/>
        </w:rPr>
        <w:t>对</w:t>
      </w:r>
      <w:r>
        <w:rPr>
          <w:rFonts w:hint="eastAsia" w:ascii="仿宋_GB2312" w:eastAsia="仿宋_GB2312"/>
          <w:sz w:val="32"/>
          <w:szCs w:val="32"/>
        </w:rPr>
        <w:t>检查</w:t>
      </w:r>
      <w:r>
        <w:rPr>
          <w:rFonts w:ascii="仿宋_GB2312" w:eastAsia="仿宋_GB2312"/>
          <w:sz w:val="32"/>
          <w:szCs w:val="32"/>
        </w:rPr>
        <w:t>中发现的安全隐患，要建立问题清单，明确整改措施和责任人，限期完成整改，做到即查即改、不留死角。整改完成后需及时反馈，形成“发现-整改-复查-销号”的闭环管理。</w:t>
      </w:r>
    </w:p>
    <w:p w14:paraId="38C8C15B">
      <w:pPr>
        <w:spacing w:line="560" w:lineRule="exact"/>
        <w:rPr>
          <w:rFonts w:ascii="仿宋_GB2312" w:eastAsia="仿宋_GB2312" w:cs="仿宋_GB2312"/>
          <w:color w:val="222222"/>
          <w:sz w:val="32"/>
          <w:szCs w:val="32"/>
          <w:shd w:val="clear" w:color="auto" w:fill="FFFFFF"/>
        </w:rPr>
      </w:pPr>
      <w:r>
        <w:rPr>
          <w:rFonts w:hint="eastAsia" w:ascii="仿宋_GB2312" w:eastAsia="仿宋_GB2312" w:cs="仿宋_GB2312"/>
          <w:b/>
          <w:bCs/>
          <w:color w:val="222222"/>
          <w:sz w:val="32"/>
          <w:szCs w:val="32"/>
          <w:shd w:val="clear" w:color="auto" w:fill="FFFFFF"/>
        </w:rPr>
        <w:t xml:space="preserve">  </w:t>
      </w:r>
      <w:r>
        <w:rPr>
          <w:rFonts w:hint="eastAsia" w:ascii="仿宋_GB2312" w:eastAsia="仿宋_GB2312" w:cs="仿宋_GB2312"/>
          <w:color w:val="222222"/>
          <w:sz w:val="32"/>
          <w:szCs w:val="32"/>
          <w:shd w:val="clear" w:color="auto" w:fill="FFFFFF"/>
        </w:rPr>
        <w:t xml:space="preserve"> </w:t>
      </w:r>
      <w:r>
        <w:rPr>
          <w:rFonts w:hint="eastAsia" w:ascii="楷体_GB2312" w:eastAsia="楷体_GB2312" w:cs="仿宋_GB2312"/>
          <w:color w:val="222222"/>
          <w:sz w:val="32"/>
          <w:szCs w:val="32"/>
          <w:shd w:val="clear" w:color="auto" w:fill="FFFFFF"/>
        </w:rPr>
        <w:t>（三）</w:t>
      </w:r>
      <w:r>
        <w:rPr>
          <w:rFonts w:ascii="楷体_GB2312" w:eastAsia="楷体_GB2312" w:cs="仿宋_GB2312"/>
          <w:color w:val="222222"/>
          <w:sz w:val="32"/>
          <w:szCs w:val="32"/>
          <w:shd w:val="clear" w:color="auto" w:fill="FFFFFF"/>
        </w:rPr>
        <w:t>落实整改，建立长效机制：</w:t>
      </w:r>
      <w:r>
        <w:rPr>
          <w:rFonts w:ascii="Calibri" w:hAnsi="Calibri" w:eastAsia="仿宋_GB2312" w:cs="Calibri"/>
          <w:color w:val="222222"/>
          <w:sz w:val="32"/>
          <w:szCs w:val="32"/>
          <w:shd w:val="clear" w:color="auto" w:fill="FFFFFF"/>
        </w:rPr>
        <w:t> </w:t>
      </w:r>
      <w:r>
        <w:rPr>
          <w:rFonts w:ascii="仿宋_GB2312" w:eastAsia="仿宋_GB2312" w:cs="仿宋_GB2312"/>
          <w:color w:val="222222"/>
          <w:sz w:val="32"/>
          <w:szCs w:val="32"/>
          <w:shd w:val="clear" w:color="auto" w:fill="FFFFFF"/>
        </w:rPr>
        <w:t>对检查组</w:t>
      </w:r>
      <w:r>
        <w:rPr>
          <w:rFonts w:hint="eastAsia" w:ascii="仿宋_GB2312" w:eastAsia="仿宋_GB2312" w:cs="仿宋_GB2312"/>
          <w:color w:val="222222"/>
          <w:sz w:val="32"/>
          <w:szCs w:val="32"/>
          <w:shd w:val="clear" w:color="auto" w:fill="FFFFFF"/>
        </w:rPr>
        <w:t>在专项大检查中发现的隐患将填写</w:t>
      </w:r>
      <w:r>
        <w:rPr>
          <w:rFonts w:ascii="仿宋_GB2312" w:eastAsia="仿宋_GB2312" w:cs="仿宋_GB2312"/>
          <w:color w:val="222222"/>
          <w:sz w:val="32"/>
          <w:szCs w:val="32"/>
          <w:shd w:val="clear" w:color="auto" w:fill="FFFFFF"/>
        </w:rPr>
        <w:t>《安全隐患整改通知书》</w:t>
      </w:r>
      <w:r>
        <w:rPr>
          <w:rFonts w:hint="eastAsia" w:ascii="仿宋_GB2312" w:eastAsia="仿宋_GB2312" w:cs="仿宋_GB2312"/>
          <w:color w:val="222222"/>
          <w:sz w:val="32"/>
          <w:szCs w:val="32"/>
          <w:shd w:val="clear" w:color="auto" w:fill="FFFFFF"/>
        </w:rPr>
        <w:t>下发到相关单位</w:t>
      </w:r>
      <w:r>
        <w:rPr>
          <w:rFonts w:ascii="仿宋_GB2312" w:eastAsia="仿宋_GB2312" w:cs="仿宋_GB2312"/>
          <w:color w:val="222222"/>
          <w:sz w:val="32"/>
          <w:szCs w:val="32"/>
          <w:shd w:val="clear" w:color="auto" w:fill="FFFFFF"/>
        </w:rPr>
        <w:t>，相关</w:t>
      </w:r>
      <w:r>
        <w:rPr>
          <w:rFonts w:hint="eastAsia" w:ascii="仿宋_GB2312" w:eastAsia="仿宋_GB2312" w:cs="仿宋_GB2312"/>
          <w:color w:val="222222"/>
          <w:sz w:val="32"/>
          <w:szCs w:val="32"/>
          <w:shd w:val="clear" w:color="auto" w:fill="FFFFFF"/>
        </w:rPr>
        <w:t>单位、</w:t>
      </w:r>
      <w:r>
        <w:rPr>
          <w:rFonts w:ascii="仿宋_GB2312" w:eastAsia="仿宋_GB2312" w:cs="仿宋_GB2312"/>
          <w:color w:val="222222"/>
          <w:sz w:val="32"/>
          <w:szCs w:val="32"/>
          <w:shd w:val="clear" w:color="auto" w:fill="FFFFFF"/>
        </w:rPr>
        <w:t>实验室必须按要求及时整改并反馈。对整改不力或拒不整改的单位和责任人将予以通报，并追究相应责任。</w:t>
      </w:r>
    </w:p>
    <w:p w14:paraId="633556FC">
      <w:pPr>
        <w:spacing w:line="560" w:lineRule="exact"/>
        <w:ind w:firstLine="320" w:firstLineChars="100"/>
        <w:rPr>
          <w:rFonts w:ascii="仿宋_GB2312" w:eastAsia="仿宋_GB2312" w:cs="仿宋_GB2312"/>
          <w:color w:val="222222"/>
          <w:sz w:val="32"/>
          <w:szCs w:val="32"/>
          <w:shd w:val="clear" w:color="auto" w:fill="FFFFFF"/>
        </w:rPr>
      </w:pPr>
      <w:r>
        <w:rPr>
          <w:rFonts w:hint="eastAsia" w:ascii="仿宋_GB2312" w:eastAsia="仿宋_GB2312" w:cs="仿宋_GB2312"/>
          <w:color w:val="222222"/>
          <w:sz w:val="32"/>
          <w:szCs w:val="32"/>
          <w:shd w:val="clear" w:color="auto" w:fill="FFFFFF"/>
        </w:rPr>
        <w:t>（四）</w:t>
      </w:r>
      <w:r>
        <w:rPr>
          <w:rFonts w:hint="eastAsia" w:ascii="楷体_GB2312" w:eastAsia="楷体_GB2312" w:cs="仿宋_GB2312"/>
          <w:color w:val="222222"/>
          <w:sz w:val="32"/>
          <w:szCs w:val="32"/>
          <w:shd w:val="clear" w:color="auto" w:fill="FFFFFF"/>
        </w:rPr>
        <w:t>材料提交：</w:t>
      </w:r>
      <w:r>
        <w:rPr>
          <w:rFonts w:hint="eastAsia" w:ascii="仿宋_GB2312" w:eastAsia="仿宋_GB2312"/>
          <w:sz w:val="32"/>
          <w:szCs w:val="32"/>
        </w:rPr>
        <w:t>请各单位填写《高校实验室安全管理信息填报表(202</w:t>
      </w: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年数据）》（见附件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）和《实验室安全隐患自查自纠汇总表（2026年）》（附件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），于2</w:t>
      </w:r>
      <w:r>
        <w:rPr>
          <w:rFonts w:ascii="仿宋_GB2312" w:eastAsia="仿宋_GB2312"/>
          <w:sz w:val="32"/>
          <w:szCs w:val="32"/>
        </w:rPr>
        <w:t>026</w:t>
      </w:r>
      <w:r>
        <w:rPr>
          <w:rFonts w:hint="eastAsia" w:ascii="仿宋_GB2312" w:eastAsia="仿宋_GB2312"/>
          <w:sz w:val="32"/>
          <w:szCs w:val="32"/>
        </w:rPr>
        <w:t>年5月</w:t>
      </w:r>
      <w:r>
        <w:rPr>
          <w:rFonts w:ascii="仿宋_GB2312" w:eastAsia="仿宋_GB2312"/>
          <w:sz w:val="32"/>
          <w:szCs w:val="32"/>
        </w:rPr>
        <w:t>27</w:t>
      </w:r>
      <w:r>
        <w:rPr>
          <w:rFonts w:hint="eastAsia" w:ascii="仿宋_GB2312" w:eastAsia="仿宋_GB2312"/>
          <w:sz w:val="32"/>
          <w:szCs w:val="32"/>
        </w:rPr>
        <w:t>日1</w:t>
      </w: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:</w:t>
      </w:r>
      <w:r>
        <w:rPr>
          <w:rFonts w:ascii="仿宋_GB2312" w:eastAsia="仿宋_GB2312"/>
          <w:sz w:val="32"/>
          <w:szCs w:val="32"/>
        </w:rPr>
        <w:t>00</w:t>
      </w:r>
      <w:r>
        <w:rPr>
          <w:rFonts w:hint="eastAsia" w:ascii="仿宋_GB2312" w:eastAsia="仿宋_GB2312"/>
          <w:sz w:val="32"/>
          <w:szCs w:val="32"/>
        </w:rPr>
        <w:t>前</w:t>
      </w:r>
      <w:r>
        <w:rPr>
          <w:rFonts w:hint="eastAsia" w:ascii="仿宋_GB2312" w:eastAsia="仿宋_GB2312" w:cs="仿宋_GB2312"/>
          <w:sz w:val="32"/>
          <w:szCs w:val="32"/>
          <w:shd w:val="clear" w:color="auto" w:fill="FFFFFF"/>
        </w:rPr>
        <w:t>交至太白湖校区行政办公楼</w:t>
      </w:r>
      <w:r>
        <w:rPr>
          <w:rFonts w:ascii="仿宋_GB2312" w:eastAsia="仿宋_GB2312" w:cs="仿宋_GB2312"/>
          <w:sz w:val="32"/>
          <w:szCs w:val="32"/>
          <w:shd w:val="clear" w:color="auto" w:fill="FFFFFF"/>
        </w:rPr>
        <w:t>113</w:t>
      </w:r>
      <w:r>
        <w:rPr>
          <w:rFonts w:hint="eastAsia" w:ascii="仿宋_GB2312" w:eastAsia="仿宋_GB2312" w:cs="仿宋_GB2312"/>
          <w:sz w:val="32"/>
          <w:szCs w:val="32"/>
          <w:shd w:val="clear" w:color="auto" w:fill="FFFFFF"/>
        </w:rPr>
        <w:t>室，日照校区教学办公楼</w:t>
      </w:r>
      <w:r>
        <w:rPr>
          <w:rFonts w:ascii="仿宋_GB2312" w:eastAsia="仿宋_GB2312" w:cs="仿宋_GB2312"/>
          <w:sz w:val="32"/>
          <w:szCs w:val="32"/>
          <w:shd w:val="clear" w:color="auto" w:fill="FFFFFF"/>
        </w:rPr>
        <w:t>1016</w:t>
      </w:r>
      <w:r>
        <w:rPr>
          <w:rFonts w:hint="eastAsia" w:ascii="仿宋_GB2312" w:eastAsia="仿宋_GB2312" w:cs="仿宋_GB2312"/>
          <w:sz w:val="32"/>
          <w:szCs w:val="32"/>
          <w:shd w:val="clear" w:color="auto" w:fill="FFFFFF"/>
        </w:rPr>
        <w:t>室，同时通过</w:t>
      </w:r>
      <w:r>
        <w:rPr>
          <w:rFonts w:ascii="仿宋_GB2312" w:eastAsia="仿宋_GB2312" w:cs="仿宋_GB2312"/>
          <w:sz w:val="32"/>
          <w:szCs w:val="32"/>
          <w:shd w:val="clear" w:color="auto" w:fill="FFFFFF"/>
        </w:rPr>
        <w:t>OA</w:t>
      </w:r>
      <w:r>
        <w:rPr>
          <w:rFonts w:hint="eastAsia" w:ascii="仿宋_GB2312" w:eastAsia="仿宋_GB2312" w:cs="仿宋_GB2312"/>
          <w:sz w:val="32"/>
          <w:szCs w:val="32"/>
          <w:shd w:val="clear" w:color="auto" w:fill="FFFFFF"/>
        </w:rPr>
        <w:t>邮箱</w:t>
      </w:r>
      <w:r>
        <w:rPr>
          <w:rFonts w:ascii="仿宋_GB2312" w:eastAsia="仿宋_GB2312" w:cs="仿宋_GB2312"/>
          <w:sz w:val="32"/>
          <w:szCs w:val="32"/>
          <w:shd w:val="clear" w:color="auto" w:fill="FFFFFF"/>
        </w:rPr>
        <w:t>发送电子版</w:t>
      </w:r>
      <w:r>
        <w:rPr>
          <w:rFonts w:hint="eastAsia" w:ascii="仿宋_GB2312" w:eastAsia="仿宋_GB2312" w:cs="仿宋_GB2312"/>
          <w:sz w:val="32"/>
          <w:szCs w:val="32"/>
          <w:shd w:val="clear" w:color="auto" w:fill="FFFFFF"/>
        </w:rPr>
        <w:t>。</w:t>
      </w:r>
    </w:p>
    <w:p w14:paraId="3F4D832F">
      <w:pPr>
        <w:spacing w:line="540" w:lineRule="exact"/>
        <w:ind w:firstLine="3840" w:firstLineChars="1200"/>
        <w:rPr>
          <w:rFonts w:ascii="仿宋_GB2312" w:eastAsia="仿宋_GB2312"/>
          <w:sz w:val="32"/>
          <w:szCs w:val="32"/>
        </w:rPr>
      </w:pPr>
    </w:p>
    <w:p w14:paraId="45652380"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附件：1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</w:rPr>
        <w:t xml:space="preserve"> 高校实验室安全管理信息填报表(202</w:t>
      </w: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年数据）</w:t>
      </w:r>
    </w:p>
    <w:p w14:paraId="293716D0"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 2.</w:t>
      </w:r>
      <w:r>
        <w:rPr>
          <w:rFonts w:hint="eastAsia" w:ascii="仿宋_GB2312" w:eastAsia="仿宋_GB2312"/>
          <w:sz w:val="32"/>
          <w:szCs w:val="32"/>
        </w:rPr>
        <w:t xml:space="preserve"> 实验室安全隐患自查自纠汇总表（2026年）</w:t>
      </w:r>
    </w:p>
    <w:p w14:paraId="63C15A56"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 3.</w:t>
      </w:r>
      <w:r>
        <w:rPr>
          <w:rFonts w:hint="eastAsia" w:ascii="仿宋_GB2312" w:eastAsia="仿宋_GB2312"/>
          <w:sz w:val="32"/>
          <w:szCs w:val="32"/>
        </w:rPr>
        <w:t xml:space="preserve"> 高等学校实验室安全检查项目表（2</w:t>
      </w:r>
      <w:r>
        <w:rPr>
          <w:rFonts w:ascii="仿宋_GB2312" w:eastAsia="仿宋_GB2312"/>
          <w:sz w:val="32"/>
          <w:szCs w:val="32"/>
        </w:rPr>
        <w:t>026</w:t>
      </w:r>
      <w:r>
        <w:rPr>
          <w:rFonts w:hint="eastAsia" w:ascii="仿宋_GB2312" w:eastAsia="仿宋_GB2312"/>
          <w:sz w:val="32"/>
          <w:szCs w:val="32"/>
        </w:rPr>
        <w:t>版）</w:t>
      </w:r>
    </w:p>
    <w:p w14:paraId="29503893"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 </w:t>
      </w:r>
    </w:p>
    <w:p w14:paraId="76E7F4F5"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 w14:paraId="5D5893BE">
      <w:pPr>
        <w:spacing w:line="540" w:lineRule="exact"/>
        <w:ind w:firstLine="4160" w:firstLineChars="13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资产管理处、教务处、科研处</w:t>
      </w:r>
    </w:p>
    <w:p w14:paraId="4179BEF5">
      <w:pPr>
        <w:spacing w:line="540" w:lineRule="exact"/>
        <w:ind w:firstLine="4800" w:firstLineChars="1500"/>
        <w:rPr>
          <w:rFonts w:ascii="仿宋_GB2312" w:eastAsia="仿宋_GB2312" w:cs="仿宋_GB2312"/>
          <w:color w:val="222222"/>
          <w:sz w:val="32"/>
          <w:szCs w:val="32"/>
          <w:shd w:val="clear" w:color="auto" w:fill="FFFFFF"/>
        </w:rPr>
      </w:pPr>
      <w:r>
        <w:rPr>
          <w:rFonts w:hint="eastAsia" w:ascii="仿宋_GB2312" w:eastAsia="仿宋_GB2312" w:cs="仿宋_GB2312"/>
          <w:color w:val="222222"/>
          <w:sz w:val="32"/>
          <w:szCs w:val="32"/>
          <w:shd w:val="clear" w:color="auto" w:fill="FFFFFF"/>
        </w:rPr>
        <w:t>202</w:t>
      </w:r>
      <w:r>
        <w:rPr>
          <w:rFonts w:ascii="仿宋_GB2312" w:eastAsia="仿宋_GB2312" w:cs="仿宋_GB2312"/>
          <w:color w:val="222222"/>
          <w:sz w:val="32"/>
          <w:szCs w:val="32"/>
          <w:shd w:val="clear" w:color="auto" w:fill="FFFFFF"/>
        </w:rPr>
        <w:t>6</w:t>
      </w:r>
      <w:r>
        <w:rPr>
          <w:rFonts w:hint="eastAsia" w:ascii="仿宋_GB2312" w:eastAsia="仿宋_GB2312" w:cs="仿宋_GB2312"/>
          <w:color w:val="222222"/>
          <w:sz w:val="32"/>
          <w:szCs w:val="32"/>
          <w:shd w:val="clear" w:color="auto" w:fill="FFFFFF"/>
        </w:rPr>
        <w:t>年</w:t>
      </w:r>
      <w:r>
        <w:rPr>
          <w:rFonts w:ascii="仿宋_GB2312" w:eastAsia="仿宋_GB2312" w:cs="仿宋_GB2312"/>
          <w:color w:val="222222"/>
          <w:sz w:val="32"/>
          <w:szCs w:val="32"/>
          <w:shd w:val="clear" w:color="auto" w:fill="FFFFFF"/>
        </w:rPr>
        <w:t>5</w:t>
      </w:r>
      <w:r>
        <w:rPr>
          <w:rFonts w:hint="eastAsia" w:ascii="仿宋_GB2312" w:eastAsia="仿宋_GB2312" w:cs="仿宋_GB2312"/>
          <w:color w:val="222222"/>
          <w:sz w:val="32"/>
          <w:szCs w:val="32"/>
          <w:shd w:val="clear" w:color="auto" w:fill="FFFFFF"/>
        </w:rPr>
        <w:t>月</w:t>
      </w:r>
      <w:r>
        <w:rPr>
          <w:rFonts w:ascii="仿宋_GB2312" w:eastAsia="仿宋_GB2312" w:cs="仿宋_GB2312"/>
          <w:color w:val="222222"/>
          <w:sz w:val="32"/>
          <w:szCs w:val="32"/>
          <w:shd w:val="clear" w:color="auto" w:fill="FFFFFF"/>
        </w:rPr>
        <w:t>17</w:t>
      </w:r>
      <w:r>
        <w:rPr>
          <w:rFonts w:hint="eastAsia" w:ascii="仿宋_GB2312" w:eastAsia="仿宋_GB2312" w:cs="仿宋_GB2312"/>
          <w:color w:val="222222"/>
          <w:sz w:val="32"/>
          <w:szCs w:val="32"/>
          <w:shd w:val="clear" w:color="auto" w:fill="FFFFFF"/>
        </w:rPr>
        <w:t xml:space="preserve">日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Luxi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roid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荣耀黑体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roid Sans Fallback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growAutofit/>
    <w:useFELayout/>
    <w:compatSetting w:name="compatibilityMode" w:uri="http://schemas.microsoft.com/office/word" w:val="14"/>
  </w:compat>
  <w:rsids>
    <w:rsidRoot w:val="00000000"/>
    <w:rsid w:val="6882531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uiPriority w:val="0"/>
    <w:pPr>
      <w:keepNext/>
      <w:keepLines/>
      <w:spacing w:before="260" w:after="260" w:line="415" w:lineRule="auto"/>
      <w:outlineLvl w:val="1"/>
    </w:pPr>
    <w:rPr>
      <w:rFonts w:ascii="Luxi Sans" w:hAnsi="Luxi Sans" w:eastAsia="荣耀黑体"/>
      <w:b/>
      <w:sz w:val="32"/>
    </w:rPr>
  </w:style>
  <w:style w:type="paragraph" w:styleId="4">
    <w:name w:val="heading 3"/>
    <w:basedOn w:val="1"/>
    <w:next w:val="1"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8">
    <w:name w:val="Default Paragraph Font"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Strong"/>
    <w:basedOn w:val="8"/>
    <w:uiPriority w:val="0"/>
    <w:rPr>
      <w:b/>
      <w:bCs/>
    </w:rPr>
  </w:style>
  <w:style w:type="paragraph" w:customStyle="1" w:styleId="10">
    <w:name w:val="List Paragraph"/>
    <w:basedOn w:val="1"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Pages>4</Pages>
  <Words>1621</Words>
  <Characters>1677</Characters>
  <Lines>1</Lines>
  <Paragraphs>1</Paragraphs>
  <TotalTime>600</TotalTime>
  <ScaleCrop>false</ScaleCrop>
  <LinksUpToDate>false</LinksUpToDate>
  <CharactersWithSpaces>1714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2025-09-18T09:23:00Z</dcterms:created>
  <dc:creator>Lenovo</dc:creator>
  <cp:lastModifiedBy>海阔天空</cp:lastModifiedBy>
  <dcterms:modified xsi:type="dcterms:W3CDTF">2026-05-17T10:35:24Z</dcterms:modified>
  <cp:revision>127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eyJoZGlkIjoiNDE4MTk0ZTc2MDYzZjZkOWM2ZjA2Yjk1ZmZiNzg4OTQiLCJ1c2VySWQiOiIxNjk5OTkyMDU5In0=</vt:lpwstr>
  </property>
  <property fmtid="{D5CDD505-2E9C-101B-9397-08002B2CF9AE}" pid="4" name="ICV">
    <vt:lpwstr>C4CE627F44A34D99945BF77196288491_13</vt:lpwstr>
  </property>
</Properties>
</file>